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03.06.2019, оставленным без изменения постановлением Семнадцатого арбитражного апелляционного суда от 05.09.2019 и постановлением Арбитражного суда Уральского округа от 28.11.2019, с комбината в пользу общества взыскано 3 000 000 руб. неустойки, в удовлетворении остальной части иска отказано. В кассационной жалобе, поданной в Верховный Суд Российской Федерации, комбинат, ссылаясь на нарушение судами норм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А50-12261/2017, руководствуясь статьями 309 , 310 , 329 , 330 Гражданского кодекса Российской Федерации, разъяснениями, приведенными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нарушения комбинатом обязательства по договору, пришли к выводу о наличии оснований для взыскания с него неустойки и снижения ее размера по правилам статьи 333 Гражданского кодекса Российской Федерации до 3 000 000 руб. по ходатайству ответчика ввиду несоразмерности неустойки последствиям нарушения обязательства. С указанными выводами впоследствии согласился суд округа. Доводы заявителя о необходимости еще большего снижения размера неустойки были предметом рассмотрения судов и получили правовую оценку.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«ЕвроХим – Усольский калийный комбинат»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"ПРОИЗВОДСТВЕННО-КОММЕРЧЕСКАЯ ФИРМА "МУСТАНГ" (подробнее) Ответчики: ООО "ЕВРОХИМ - УСОЛЬСКИЙ КАЛИЙНЫЙ КОМБИНАТ"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