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«Банк ВТБ» обратилось в суд с заявлением, объединённым с рассмотрением итогов процедуры наблюдения, в котором просило признать недействительными решения первого собрания кредиторов должника от 14.03.2019; не включать в повестку дня собрания кредиторов дополнительный вопрос №1; не включать в повестку дня собрания кредиторов дополнительный вопрос №2; о переходе к процедуре внешнего управления, обратиться в суд с соответствующим ходатайством; одобрить действия временного управляющего по согласованию сделок должника за период исполнения им своих обязанностей, в том числе следующих: генерального соглашения с публичным акционерным обществом «Сбербанк» (далее – общество «Сбербанк») об открытии невозобновляемой рамочной кредитной линии; договора о предоставлении банковских гарантий с обществом «Сбербанк». 2 Определением Арбитражного суда Оренбургской области от 20.05.2019 отказано в удовлетворении требований о признании частично недействительным решения собрания кредиторов должника от 14.03.2019, в отношении должника введено внешнее управление, внешним управляющим должником утверждён Мамонтов В.Н. Постановлением Восемнадцатого арбитражного апелляционного суда от 24.07.2019, оставленным без изменения постановлением Арбитражного суда Уральского округа от 08.10.2019, вышеуказанное определение отменено в части утверждения Мамонтова В.Н. внешним управляющим должником, в указанной части в удовлетворении требований отказано; в остальной части определение суда первой инстанции от 20.05.2019 оставлено без изменения. В кассационной жалобе, поданной в Верховный Суд Российской Федерации, заявитель просит отменить постановление апелляционного суда в части отмены определения суда первой инстанции и отказе в утверждении Мамонтова В.Н. внешним управляющим должником, полностью отменить постановление суда округа и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утверждении Мамонтова В.Н. внешним управляющим должником, суд апелляционной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20.3 Федерального закона от 26.10.2002 № 127-ФЗ «О несостоятельности (банкротстве)», позицией, изложенной в пункте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наличия заинтересованности между некоторыми кредиторами должника и 3 Мамонтовым В.Н., что может повлиять на независимость арбитражного управляющего Мамонтова В.Н.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Мамонтову Валерию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