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09.04.2019, оставленным без изменения постановлением Шестнадцатого арбитражного апелляционного суда от 12.07.2019 и постановлением Арбитражного суда Северо-Кавказского округа от 28.10.2019, в удовлетворении заявленного требования отказано. 2 В кассационной жалобе, поданной в Верховный Суд Российской Федерации, министерство,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приказом от 15.03.2018 министерство утвердило документацию о конкурсном отборе регионального оператора по обращению с твердыми коммунальными отходами на территории Центрального межмуниципального экологического отходоперерабатывающего комплекса Республики Дагестан. Согласно протоколу рассмотрения заявок от 19.04.2018 на участие в конкурсе поданы две заявки - общества и ООО «Гофро-Альянс». В связи с признанием заявки не соответствующей требованиям конкурсной документации, обществу отказано в допуске к участию в конкурсе. Не согласившись с действиями конкурсной комиссии, общество обратилось с жалобой в управление, по результатам рассмотрения вынесено решение о признании министерства нарушившим часть 2 статьи 17 Федерального закона от 26.07.2006 № 135-ФЗ «О защите конкуренции» (далее - Закон о защите конкуренции) и пункта 45 Правил проведения уполномоченными органами исполнительной власти субъектов Российской Федерации конкурсного отбора региональных операторов по обращению с твердыми коммунальными отходами, утвержденных постановлением Правительства Российской Федерации от 05.09.2016 № 881 (далее - Правила № 881). Не согласившись с решением управления, министерство обратилось в арбитражный суд. Отказывая в удовлетворении требования, суды трех инстанций, руководствуясь положениями Закона о защите конкуренции, Правил № 881, приказом Федеральной антимонопольной службы от 25.12.2017 № 1768/17 «Об утверждении минимальной нормы доходности для расчета тарифов в области обращения с твердыми коммунальными отходами с применением метода доходности инвестированного капитала на долгосрочный период 3 регулирования с началом долгосрочного периода регулирования в 2018 году», пришли к выводу о том, что решение антимонопольного органа в оспариваемой части соответствует законодательству и не нарушает прав заявителя. Судебные инстанции исходили из того, что у комиссии отсутствовали основания для отклонения заявки, в том числе со ссылкой на непредставление обществом в составе заявки акта приема-передачи транспортных средств, декларативный характер заключенных соглашений и невозможность сделать вывод о подтверждении критерия «Обеспеченность», указание обществом в заявке нормы доходности инвестированного капитала на 2019 год в размере 13,21% не противоречило утвержденной минимальной норме доходности в 2019 году. Кроме того, суды отметили, что министерство на стадии приема заявки отказало обществу в допуске к участию в конкурсе, дав оценку представленным документам, которые подлежали исследованию на стадии оценки и сопоставления заявок участников. Доводы заявителя, изложенные в жалобе, являлись предметом рассмотрения судов и им дана надлежащая правовая оценка. По существу доводы жалобы повторяют позицию заявителя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судами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и экологии Республики Дагестан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