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сделками банковских операций от 04.07.2017 по переводу обществом денежных средств в сумме 2 165 000 рублей на счета в других кредитных организациях и применении последствий недействительности сделок. Определением Арбитражного суда города Москвы от 08.04.2019, оставленным без изменения постановлениями Девятого арбитражного апелляционного суда от 23.07.2019 и Арбитражного суда Московского округа от 14.10.2019,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61.3 и 189.40 Федерального закона от 26.10.2002 № 127-ФЗ «О несостоятельности (банкротстве)», позицией, изложенной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совершения банковских операций при наличии скрытой картотеки неисполненных платёжных документов за пределами обычной хозяйственной деятельности, указав на следствие данной сделки – предпочтительное удовлетворение требований общества перед другими кредиторами должника, при этом правомерно применив последствия недействительности сделок и взыскав проценты за пользование чужими денежными средствами.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«ИнтерВес»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