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закрытого акционерного общества «Бухта Радости» удовлетворить. Срок подачи кассационной жалобы на постановление Девятого арбитражного апелляционного суда от 20.05.2019 и постановление Арбитражного суда Московского округа от 29.08.2019 по делу № А40-157175/2018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