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22.04.2019, оставленным без изменения постановлением Пятнадцатого арбитражного 2 апелляционного суда от 24.07.2019 и постановлением Северо-Кавказского округа от 19.11.2019, в удовлетворении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оспариваемые решения приняты инспекцией по результатам камеральной налоговой проверки представленной обществом уточненной налоговой декларации по НДС за 4 квартал 2015 года, в которой налоговая база уменьшена на сумму предварительной оплаты (авансов) в размере 33 901 429 рублей 37 копеек, произведенной ООО «Феникс-Инвест» (заказчик) по договору строительного подряда. Основанием для отказа в привлечении к налоговой ответственности и возмещении НДС послужил вывод инспекции о неправомерном уменьшении налоговой базы с оплаты, полученной в счет предстоящего выполнения работ. Рассматривая спор, суды, оценив представленные в материалы дела доказательства, руководствуясь положениями статей 146, 154, 167, 171, 172 Налогового кодекса Российской Федерации (далее - Налогового кодекса), статей 453, 706, 711, 740, 746, 1102 Гражданского кодекса Российской Федерации, принимая во внимание обстоятельства, установленные вступившим в законную силу решением Арбитражного суда Ростовской области от 09.08.2016 по делу № А53-6384/2016, пришли к выводу о законности оспоренных решений. Судебные инстанции исходили из того, что общество правомерно исчислило НДС с сумм полученных авансов, последующее расторжение договора подряда в связи с его ненадлежащим исполнением подрядчиком не 3 является основанием для корректировки налоговой базы за тот период, когда с суммы полученного аванса исчислен НДС. При этом условия и основания для предъявления НДС к вычету, предусмотренные абзацем 2 пункта 5 статьи 171 и пунктом 4 статьи 172 Налогового кодекса, налогоплательщиком не соблюдены. Доводы, изложенные в кассационной жалобе, повторяют позицию заявителя по спору, являлись предметом рассмотрения судов и получили надлежащую правовую оценку. Приведенные доводы не свидетельствуют о существенном нарушении норм материального и норм процессуального права, повлиявших на исход дела, по существу, выражают несогласие с выводами судов по фактическим обстоятельствам дела и основаны на ошибочном применении к ним положений законодательства, в связи с чем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«РКС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