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«ЛенСпецСтрой» (далее – общество) обратилось в суд с заявлением о включении в реестр требований кредиторов должника 160 811 499 рублей 30 копеек вексельного долга. Определением Арбитражного суда города Санкт-Петербурга и Ленинградской области от 28.08.2018, оставленным без изменения постановлениями Тринадцатого арбитражного апелляционного суда от 24.12.2018 и Арбитражного суда Северо-Западного округа от 18.11.2019, требование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обществу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142, 815 Гражданского кодекса Российской Федерации, статей 71, 100 Федерального закона от 26.10.2002 № 127-ФЗ «О несостоятельности (банкротстве)», разъяснениями, изложенными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дело банкротстве», указали из реальный характер цепочки правоотношений лиц и обязательств, положенных в основу вексельного долга перед обществом, в связи с чем, включили его требование в реестр. Выводы судов соответствуют нормам права, оснований для переоценки этих выводов по доводам жалобы не имеется.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«Тепломонтаж» в лице конкурсного управляющего Жучковой Марии Викторовны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