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27.02.2019, оставленным без изменения постановлением Семнадцатого арбитражного апелляционного суда от 30.05.2019 и постановлением Арбитражного суда Уральского округа от 27.09.2019, иск удовлетворен. В кассационной жалобе общество «Проект-Девелопмент» просит об отмене судебных актов, ссылаясь на отсутствие договора и принятие ненадлежащих доказательств оказания услуг по разовым сделкам.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признал доказанным фактическое оказание услуг по вывозу отходов, поэтому удовлетворил иск в соответствии со статьями 307, 153, 779, 781 Гражданского кодекса Российской Федерации. Доводы заявителя о неправильном толковании правоотношений и применении к ним норм об абонентском обслуживании противоречат выводам судов. Вопросы доказывания и оценки доказательств, затронутые в рассматриваемой жалобе,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«Проект-Девелопмент»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