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13.06.2019, оставленным без изменения постановлением Седьмого арбитражного апелляционного суда от 28.08.2019, иск удовлетворен. Арбитражный суд Западно-Сибирского округа постановлением от 28.10.2019 решение от 13.06.2019 и постановление Седьмого арбитражного апелляционного суда от 28.08.2019 оставил без изменения. В кассационной жалобе общество «Росгосстрах» просит об отмене судебных актов, ссылаясь на неверное толкование условий договора страхования и необоснованное неприменение согласованной дополнительной франшизы.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исходя из доводов кассационной жалобы не усматривается. Толкование договора в силу статьи 431 Гражданского кодекса Российской Федерации является компетенцией суда, поэтому оспаривание основанных на нем выводов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