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23.05.2019, оставленным без изменения постановлением Девятого арбитражного апелляционного суда от 19.08.2019, в удовлетворении иска отказано по мотиву предъявления требования о платеже по банковской гарантии за пределами срока ее действия. Арбитражный суд Московского округа постановлением от 31.10.2019 решение от 23.05.2019 и постановление Девятого арбитражного апелляционного суда от 19.08.2019 оставил без изменения. В кассационной жалобе управление просит об отмене указанных судебных актов, ссылаясь на своевременное направление требования о платеже через организацию связи.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Сдача органу почтовой связи отправления с требованием о платеже по гарантии в пределах срока ее действия не является представлением требования о платеже в пределах такого срока в силу установленного судами содержания условия банковской гарантии от 02.04.2018 № БГ-196099/2018 о представлении в пределах срока письменного требования по определенному адресу либо требования в форме электронного документа на определенный адрес электронной почты.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