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19.04.2019, оставленным без изменения постановлением Пятого арбитражного апелляционного суда от 21.06.2019, заявленные требования удовлетворены. Постановлением Арбитражного суда Дальневосточного округа от 16.10.2019 указанные судебные акты оставлены без изменения. 2 Таможенный орган обратился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несогласие общества с исчислением утилизационного сбора в отношении ввезенных грузовых автомобилей явилось основанием для обращения с требованиями по настоящему делу. Оценив представленные доказательства, руководствуясь статьей 3 Налогового кодекса Российской Федерации, положениями Федерального закона от 24.06.1998 № 89-ФЗ «Об отходах производства и потребления», Правил взимания, исчисления, уплаты и взыскания утилизационного сбора в отношении колесных транспортных средств и шасси, а также возврата и зачета излишне уплаченных или излишне взысканных сумм этого сбора, утвержденных Постановлением Правительства Российской Федерации от 26.12.2013 № 1291 «Об утилизационном сборе в отношении колесных транспортных средств и шасси и о внесении изменений в некоторые акты Правительства Российской Федерации», правовой позицией, изложенной в постановлениях Конституционного Суда Российской Федерации от 31.05.2016 № 14-П, от 05.03.2013 № 5-П, от 14.05.2009 № 8-П, от 28.02.2006 № 2-П, суды удовлетворили заявленные требования, признав доказанным факт излишней уплаты утилизационного сбора, и незаконности решения таможни об отказе в возврате обществу излишне уплаченного утилизационного сбора. При этом суды исходили из того, что в целях определения коэффициента, необходимого для расчета суммы утилизационного сбора в отношении грузовых автомобилей, имеет значение полная масса транспортного средства, однако действующее законодательство не содержит нормы, предписывающей 3 определять полную массу транспортного средства как суммарного показателя фактической массы транспортного средства и его грузоподъемности. Доводы жалобы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