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«Частное охранное предприятие «Катана» обратилось в Арбитражный суд Пермского края с иском о взыскании с общества с ограниченной ответственностью «Частная охранная организация «Квазар» 197 452 рублей задолженности по договору от 01.01.2016 № 1/15 о сотрудничестве в области оказания охранных услуг с использованием средств охранно-пожарной сигнализации. Решением Арбитражного суда Пермского края суда от 09.04.2019 иск удовлетворен. Постановлением Семнадцатого арбитражного апелляционного суда от 05.07.2019 решение суда первой инстанции оставлено без изменения. Арбитражный суд Уральского округа постановлением от 08.10.2019 указанные судебные акты оставил без изменения. Общество с ограниченной ответственностью «Частная охранная организация «Квазар» обратилось в Судебную коллегию Верховного Суда 2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310, 779, 781 Гражданского кодекса Российской Федерации, суды пришли к выводу о доказанности факта оказания истцом услуг и наличии у ответчика обязанности оплатить оказанные услуги.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«Частная охранная организация «Квазар»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