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15.03.2019 исковые требования удовлетворены. Постановлением Девятого арбитражного апелляционного суда от 25.06.2019 решение суда первой инстанции отменено, в удовлетворении исковых требований отказано. Постановлением Арбитражного суда Московского округа от 10.10.2019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2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заявленных требований, суд апелляционной инстанции, выводы которого поддержал суд округа, руководствовался статьями 15, 393 Гражданского кодекса Российской Федерации и исходил из недоказанности компанией состава убытков в связи с отказом общества от исполнения договора применительно к положениям статей 65, 71 Арбитражного процессуального кодекса Российской Федерации. Доводы кассационной жалобы выводы судов не опровергают, направлены на переоценку имеющихся в деле доказательств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Строительно-Торговая Компания «ТРАНССНАБСТРОЙ»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