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14.06.2019, оставленным без изменения постановлением Пятнадцатого арбитражного апелляционного суда от 07.08.2019, в удовлетворении иска отказано. Постановлением Арбитражного суда Северо-Кавказского округа от 15.11.2019 решение и постановление апелляционного суда отменены, дело направлено на новое рассмотрение в суд первой инстанции. В кассационной жалобе общество просит отменить постановление окружного суда как незаконное вследствие нарушения пределов компетенции.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несоответствие выводов нижестоящих судов условиям действующего между сторонами государственного контракта и контрактному законодательству, поэтому отменил их в пределах статей 286-288 Арбитражного процессуального кодекса Российской Федерации.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