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08.04.2019, оставленным без изменения постановлением Седьмого арбитражного апелляционного суда от 01.07.2019 и постановлением Арбитражного суда 2 Западно-Сибирского округа от 09.10.2019, в удовлетворении заявленных требований отказано. В кассационной жалобе, поданной в Верховный Суд Российской Федерации, предпнриниматель,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заявленных требований и признавая оспоренные уведомление и действия инспекции законными, суды трех инстанций, оценив представленные в материалы дела доказательства, руководствуясь положениями статей 378.2, 399, 400, 401, 402, 406, 408 Налогового кодекса, принимая во внимание пункт 3.4 решения Прокопьевского Городского Совета Народных Депутатов от 26.11.2015 № 266 «Об установлении налога на имущество физических лиц на территории Прокопьевского городского округа», пришли к выводу об отсутствии правовых оснований для предоставления предпринимателю налоговой льготы по налогу на имущество физических лиц в отношении объектов недвижимости. Суды установили, что предприниматель владеет на праве собственности помещениями, входящими в здание с кадастровым номером 42:32:0103020:589, включенное постановлением Коллегии Администрации Кемеровской области в Перечень объектов недвижимости, в отношении которых налоговая база определяется как кадастровая стоимость на 2017 год. Учитывая, что правомерность включения объекта с кадастровым номером 42:32:0103020:589 в Перечень не оспорена, суды исходили из того, что у заявителя возникает обязанность по исчислению и уплате налога на имущество физических лиц в отношении данных помещений исходя из кадастровой стоимости, определенной расчетным путем в порядке пункта 6 статьи 378.2 Налогового кодекса, вне зависимости от применения в данном периоде упрощенной системы налогообложения. Доводы, изложенные в кассационной жалобе, направлены на переоценку фактических обстоятельств дела и основаны на ином применении к ним положений законодательства, не подтверждают наличие существенных 3 нарушений норм материального права и норм процессуального права, которые повлияли на исход судебного разбирательства и не позволили всесторонне, полно и объективно рассмотреть дело. Все обстоятельства, имеющие значение для разрешения настоящего спора, установлены судами на основании полного и всестороннего исследования имеющихся в деле доказательств, полномочиями по переоценке которых, суд, рассматривающий дело в порядке кассационного производства, не наделен. При таких обстоятельствах основания для передачи кассационной жалобы в Судебную коллегию по экономическим спорам Верховного Суда Российской Федерации отсутствуют.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Шакирзянову Рустаму Наилевичу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