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10.04.2019, оставленным без изменения постановлением Двадцатого арбитражного апелляционного суда от 13.08.2019 и постановлением Арбитражного суда Центрального округа от 01.11.2019, в удовлетворении иска отказано. В кассационной жалобе общество «Металл-Сплав» просит о пересмотре судебных актов как незаконных вследствие ограничения права на представление доказательств, неустановления виновного в образовании убытков лица, отсутствия основания для освобождения ответчика от обязанности возмещения убытков.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стороны состоят в правоотношениях, возникающих из договора от 09.09.2016 № 09-16, и убытки взыскиваются в связи с неисполнением обязательств по этому договору. Неустановление судами нарушения обществом «Строймагистраль» договора исключает в силу статей 15, 393 Гражданского кодекса Российской Федерации взыскание убытков. Наличия иных правоотношений, кроме договорных, и их нарушения в качестве основания для взыскания убытков судами не установлено, а заявителем не подтверждено.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«Металл-Сплав»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