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19.04.2019, оставленным без изменения постановлением Пятого арбитражного апелляционного суда от 28.06.2019, заявленные требования удовлетворены. Постановлением Арбитражного суда Дальневосточного округа от 24.10.2019 указанные судебные акты оставлены без изменения.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несогласие общества с исчислением утилизационного сбора в отношении ввезенных грузовых автомобилей явилось основанием для обращения с требованиями по настоящему делу.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 взимания, исчисления, уплаты и взыскания утилизационного сбора в отношении колесных транспортных средств и шасси,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26.12.2013 № 1291 «Об утилизационном сборе в отношении колесных транспортных средств и шасси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в целях определения коэффициента, необходимого для расчета суммы утилизационного сбора в отношении грузовых автомобилей, имеет значение полная масса транспортного средства, однако действующее законодательство не содержит нормы, предписывающей определять полную массу транспортного средства как суммарного показателя фактической массы транспортного средства и его грузоподъемности.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"ВЛПРИМУС"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