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19.03.2019 в удовлетворении иска отказано. Двенадцатый арбитражный апелляционный суд постановлением от 21.06.2019 отменил решение от 19.03.2019 и удовлетворил иск. Арбитражный суд Поволжского округа постановлением от 30.09.2019 постановление Двенадцатого арбитражного апелляционного суда от 21.06.2019 оставил без изменения. В кассационной жалобе акционерное общество «СОГАЗ» просит об отмене судебных актов апелляционного и окружного судов, ссылаясь на подмену услуг аварийного комиссара дополнительными сервисными услугами, расходы на которые не могут быть уступлены до фактического несения их потерпевшим.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12 Федерального закона от 25.04.2002 № 40-ФЗ «Об обязательном страховании гражданской ответственности владельцев транспортных средств» возмещению подлежат расходы потерпевшего, обусловленные наступлением страхового случая, а также необходимые для реализации права на получение страхового возмещения. Выводы об оказании таких услуг, о необходимости несения расходов на них и праве их уступки суды сделали по результату исследования и оценки представленных доказательств. Требуемая в жалобе переоценка указанных выводов не образует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«Страховое общество газовой промышленности»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АО "СОГАЗ" в лице Волгоградского филиала (подробнее) АО "СТРАХОВОЕ ОБЩЕСТВО ГАЗОВОЙ ПРОМЫШЛЕННОСТИ"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