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02.04.2019, оставленным без изменения постановлением Пятого арбитражного апелляционного суда от 20.06.2019, заявленные требования удовлетворены. Постановлением Арбитражного суда Дальневосточного округа от 16.10.2019 указанные судебные акты оставлены без изменения. 2 Таможенный орган обратился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несогласие общества с исчислением утилизационного сбора в отношении ввезенных грузовых автомобилей явилось основанием для обращения с требованиями по настоящему делу. Оценив представленные доказательства, руководствуясь статьей 3 Налогового кодекса Российской Федерации, положениями Федерального закона от 24.06.1998 № 89-ФЗ «Об отходах производства и потребления», Правил взимания, исчисления, уплаты и взыскания утилизационного сбора в отношении колесных транспортных средств и шасси, а также возврата и зачета излишне уплаченных или излишне взысканных сумм этого сбора, утвержденных Постановлением Правительства Российской Федерации от 26.12.2013 № 1291 «Об утилизационном сборе в отношении колесных транспортных средств и шасси и о внесении изменений в некоторые акты Правительства Российской Федерации», правовой позицией, изложенной в постановлениях Конституционного Суда Российской Федерации от 31.05.2016 № 14-П, от 05.03.2013 № 5-П, от 14.05.2009 № 8-П, от 28.02.2006 № 2-П, суды удовлетворили заявленные требования, признав доказанным факт излишней уплаты утилизационного сбора, и незаконности решения таможни об отказе в возврате обществу излишне уплаченного утилизационного сбора. При этом суды исходили из того, что в целях определения коэффициента, необходимого для расчета суммы утилизационного сбора в отношении грузовых автомобилей, имеет значение полная масса транспортного средства, однако действующее законодательство не содержит нормы, предписывающей 3 определять полную массу транспортного средства как суммарного показателя фактической массы транспортного средства и его грузоподъемности. Доводы жалобы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