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26.11.2018 в удовлетворении иска отказано. Двадцать первый арбитражный апелляционный суд постановлением от 03.06.2019 отменил решение от 26.11.2018 и взыскал 988 200 рублей. Арбитражный суд Центрального округа постановлением от 27.09.2019 постановление Двадцать первого арбитражного апелляционного суда от 03.06.2019 оставил без изменения. В кассационной жалобе управление просит об отмене судебных актов апелляционного и окружного судов, ссылаясь на невыполнение предприятием законных обязанностей.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наличие вменяемого истцом ответчику ненадлежащего исполнения услуг в рамках договора от 28.02.2017 № 3-Р-АУ-17 в качестве основания для применения штрафа, поэтому удовлетворили иск в соответствии с обстоятельствами исполнения договора и статьями 329, 330 Гражданского кодекса Российской Федерации. Установленная законодательством ответственность предприятия как субъекта транспортной инфраструктуры за выполнение обязанностей по обеспечению транспортной безопасности не освобождает управление от исполнения договорных обязательств, на что правильно указал окружной суд.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«Управление ведомственной охраны Министерства транспорта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