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11.06.2019, принятым в порядке упрощенного производства и оставленным без изменения постановлением Третьего арбитражного апелляционного суда от 20.08.2019, в удовлетворении иска отказано за недоказанностью. Постановлением Арбитражного суда Восточно-Сибирского округа от 30.10.2019 решение и постановление апелляционного суда изменены: из мотивировочной части судебных актов исключены выводы о наличии у истца обязанности по уплате государственной пошлины за рассмотрение искового заявления и апелляционной жалобы; в остальной части судебные акты оставлены без изменения. В кассационной жалобе учреждение просит об отмене судебных актов как незаконных вследствие отсутствия мотивированного отказа общества от подписания акта оказания услуг.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13.02.2017 № 36, суды не установили других, кроме одностороннего акта от 30.12.2017 № 373, доказательств оказания учреждением услуг, поэтому отказали в иске в соответствии со статьями 779, 781 Гражданского кодекса Российской Федерации. Требуемая в жалобе переоценка выводов судов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31 Главного управления Федеральной службы исполнения наказаний по Красноярскому краю»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