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09.03.2019, оставленным без изменения постановлением Девятого арбитражного апелляционного суда от 17.06.2019 и постановлением Арбитражного суда Московского округа от 02.10.2019,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и принять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состоявшихся по делу судебных актов и доводов кассационных жалоб не установлено. Как следует из судебных актов, требования общества мотивированы тем, что им в спорный период министерству были оказаны услуги, что подтверждается актами взаимной сверки кабельных линий связи, подписанными представителями войсковых частей Черноморского флота Российской Федерации, которые не оплачены.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195, 196, 199, 200, 1102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В частности, суды исходили из того, что акты, на которые ссылается общество, не являются доказательством оказания услуг, поскольку из этих актов не усматривается ни объем оказанных услуг, ни их стоимость; в материалы дела не представлены доверенности либо иные документы, из которых следует право представителей войсковых частей действовать от имени указанной войсковой части как от имени юридического лица либо структурного подразделения юридического лица; первичные документы (акты об оказании услуг), подтверждающие факт оказания истцом ответчику услуг в спорный период на заявленную сумму отсутствуют; за период с 01.01.2015 по 19.07.2015 обществом пропущен срок исковой давности. С указанными выводами впоследствии согласился суд округа. Доводы кассационной жалобы не опровергают выводы судов,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«Севастополь Телеком»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