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22.04.2019, оставленным без изменения постановлением Пятого арбитражного апелляционного суда от 27.06.2019, заявленные требования удовлетворены. Постановлением Арбитражного суда Дальневосточного округа от 22.10.2019 указанные судебные акты оставлены без изменения. Таможенный орган обратился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Оценив представленные доказательства, руководствуясь статьей 3 Налогового кодекса Российской Федерации, положениями Федерального закона от 24.06.1998 № 89-ФЗ «Об отходах производства и потребления»,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утвержденных Постановлением Правительства Российской Федерации от 06.02.2016 № 81 «Об утилизационном сборе в отношении самоходных машин и (или) прицепов к ним и о внесении изменений в некоторые акты Правительства Российской Федерации», правовой позицией, изложенной в постановлениях Конституционного Суда Российской Федерации от 31.05.2016 № 14-П, от 05.03.2013 № 5-П, от 14.05.2009 № 8-П, от 28.02.2006 № 2-П, суды удовлетворили заявленные требования, признав доказанным факт излишней уплаты утилизационного сбора, и незаконности решения таможни об отказе в возврате обществу излишне уплаченного утилизационного сбора. При этом суды исходили из того, что именно фактическая масса транспортного средства необходима для расчета суммы утилизационного сбора, так как влияние только этого параметра на процесс утилизации носит объяснимый характер и получило свое закрепление в законодательстве. Указанные выводы судов согласуются с правовой позицией Верховного Суда Российской Федерации, изложенной в определении от 26.12.2017 № 305-КГ17-12383, пункте 26 Обзора судебной практики Верховного Суда Российской Федерации № 1 (2018), утвержденного Президиумом Верховного Суда Российской Федерации 28.03.2018. Доводы жалобы не подтверждают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"СтройИмпортТехника" (подробнее) Ответчики: Владивостокская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