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06.03.2019, оставленным без изменения постановлением Девятого арбитражного апелляционного суда от 26.06.2019 и постановлением Арбитражного суда Московского округа от 14.10.2019, в удовлетворении иска отказано. В кассационной жалобе общество «АвиаСервис» просит отменить судебные акты как основанные на несогласованном договорном условии.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об отсутствии у ответчика основанного на договоре правомочия на самостоятельное определение назначения поступивших платежей отклонен окружным судом со ссылкой на действующую редакцию договора от 16.05.2018 № 00007/05-18, об исполнении которого возник спор. Суды установили поставку товара в рамках указанного договора, поэтому отказали в возврате спорной суммы в соответствии с обстоятельствами исполнения сторонами обязательств и статьями 454, 486, 516 Гражданского кодекса Российской Федерации. На основании изложенного,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«АвиаСервис»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