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01.04.2019, оставленным без изменения постановлением Пятого арбитражного апелляционного суда от 24.06.2019 и постановлением Арбитражного суда Дальневосточного округа от 10.10.2019, исковые требования удовлетворены. В кассационной жалобе, поданной в Верховный Суд Российской Федерации, компания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393, 702, 722, 723, 755 Гражданского кодекса Российской Федерации, признав доказанной совокупность условий, необходимых для взыскания с предпринимателя убытков, пришли к выводу о наличии оснований для удовлетворения требований общества, с чем впоследствии согласился суд округа. Доводы кассационной жалобы не опровергают выводы судов и не подтверждают существенных нарушений норм материального и процессуального права, повлиявших на исход дела.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Компания «Морское дело»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