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13.05.2019, оставленным без изменения постановлением Пятого арбитражного апелляционного суда от 04.07.2019, заявленные требования удовлетворены. Постановлением Арбитражного суда Дальневосточного округа от 08.10.2019 указанные судебные акты оставлены без изменения.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06.02.2016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именно фактическая масса транспортного средства необходима для расчета суммы утилизационного сбора, так как влияние только этого параметра на процесс утилизации носит объяснимый характер и получило свое закрепление в законодательстве. Указанные выводы судов согласуются с правовой позицией Верховного Суда Российской Федерации, изложенной в определении от 26.12.2017 № 305-КГ17-12383, пункте 26 Обзора судебной практики Верховного Суда Российской Федерации № 1 (2018), утвержденного Президиумом Верховного Суда Российской Федерации 28.03.2018.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"СтройИмпортТехника"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