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компании «Оушена Голд Лимитед» срок подачи кассационной жалобы на решение Арбитражного суда города Москвы от 28.02.2019 по делу № А40-256449/2017, постановление Девятого арбитражного апелляционного суда от 05.06.2019 и постановление Арбитражного суда Московского округа от 18.10.2019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