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«СВ-Проект» обратилось в Арбитражный суд города Санкт-Петербурга и Ленинградской области с иском о взыскании с общества с ограниченной ответственностью «Воздушные Ворота Северной Столицы» 2 743 000 рублей задолженности за работы по договору подряда от 16.10.2017 № ПДГ26623. Решением Арбитражного суда города Санкт-Петербурга и Ленинградской области от 09.01.2019 в удовлетворении иска отказано. Постановлением Тринадцатого арбитражного апелляционного суда от 05.06.2019 решение суда первой инстанции оставлено без изменения. Арбитражный суд Северо-Западного округа постановлением от 11.10.2019 указанные судебные акты оставил без изменения. Общество с ограниченной ответственностью «СВ-Проект» обратилось в Судебную коллегию Верховного Суда Российской Федерации с кассационной 2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309, 310, 758 Гражданского кодекса Российской Федерации, суды пришли к выводу об отсутствии оснований для оплаты работ, которые не выполнены в предусмотренном договором объеме, документы, необходимые для постановки объекта ответчика на кадастровый учет и для регистрации права, истцом не подготовлены. С учетом установленных фактических обстоятельств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«СВ-Проект»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