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22.04.2019, оставленным без изменения постановлением Пятого арбитражного апелляционного суда от 27.06.2019, заявленные требования удовлетворены. Постановлением Арбитражного суда Дальневосточного округа от 09.10.2019 указанные судебные акты оставлены без изменения. Таможенный орган обратился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статьей 3 Налогового кодекса Российской Федерации, положениями Федерального закона от 24.06.1998 № 89-ФЗ «Об отходах производства и потребления», Правила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утвержденных Постановлением Правительства Российской Федерации от 06.02.2016 № 81 «Об утилизационном сборе в отношении самоходных машин и (или) прицепов к ним и о внесении изменений в некоторые акты Правительства Российской Федерации», правовой позицией, изложенной в постановлениях Конституционного Суда Российской Федерации от 31.05.2016 № 14-П, от 05.03.2013 № 5-П, от 14.05.2009 № 8-П, от 28.02.2006 № 2-П, суды удовлетворили заявленные требования, признав доказанным факт излишней уплаты утилизационного сбора, и незаконности решения таможни об отказе в возврате обществу излишне уплаченного утилизационного сбора. При этом суды исходили из того, что именно фактическая масса транспортного средства необходима для расчета суммы утилизационного сбора, так как влияние только этого параметра на процесс утилизации носит объяснимый характер и получило свое закрепление в законодательстве. Указанные выводы судов согласуются с правовой позицией Верховного Суда Российской Федерации, изложенной в определении от 26.12.2017 № 305-КГ17-12383, пункте 26 Обзора судебной практики Верховного Суда Российской Федерации № 1 (2018), утвержденного Президиумом Верховного Суда Российской Федерации 28.03.2018. Доводы жалобы не подтверждают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"СтройИмпортТехника" (подробнее) Ответчики: Владивостокская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