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14.03.2019, оставленным без изменения постановлением Девятого арбитражного апелляционного суда от 04.06.2019, в удовлетворении требований отказано. 2 Постановлением Арбитражного суда Московского округа от 07.10.2019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послужили выводы административного органа о том, что общество допустило маркировку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что создало угрозу причинения вреда жизни или здоровью граждан, а именно: нанесена маркировка единым знаком обращения на рынке на потребительскую упаковку не прошедших оценку (подтверждение) соответствия (отсутствуют декларации о соответствии на готовые выпечные изделия) выпеченных изделий пирог дрожжевой с капустой, слойка дрожжевая с лимоном (дениш), пирог дрожжевой с мясом, пирог дрожжевой с картофелем и грибами, косичка «Кленовая», твист с творожно-лимонной начинкой, корзиночка с ветчиной и сыром, слойка дрожжевая с мясом. Частью 1 статьи 14.46 Кодекса Российской Федерации об административных правонарушениях предусмотрена административной ответственность за маркировку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законодательством о техническом регулировании. Частью 2 статьи 14.46 Кодекса Российской Федерации об административных правонарушениях, которая вменена общества, установлена 3 административная ответственность за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Оценив представленные доказательства, руководствуясь положениями Федерального закона от 27.12.2002 № 184-ФЗ «О техническом регулировании», Технического регламента Таможенного союза ТР ТС 021/2011 «О безопасности пищевой продукции», суды пришли к выводу о наличии в действиях общества состава правонарушения, ответственность за совершение которого предусмотрена частью 2 статьи 14.46 Кодекса Российской Федерации об административных правонарушениях. При этом суды исходили из того, что общество как продавец обязано соблюдать порядок маркировки продукции, подлежащей обязательному подтверждению соответствия. Судами установлено, что процедура и срок давности привлечения к административной ответственности соблюдены. Штраф назначен в минимальном размере санкции нормы. Приведенные в жалобе доводы о том, что действия общества не создавали угрозу причинения вреда жизни и здоровью граждан, в связи с чем обществу необоснованно вменена часть 2 статьи 14.6 Кодекса Российской Федерации об административных правонарушениях, были предметом исследования судов и получили исчерпывающую правовую оценку в обжалуемых судебных актах исходя из установленных обстоятельств, свидетельствующих о нахождении в реализации продукции, не прошедшей оценку соответствия, небезопасной для здоровья потребителя и непосредственно создающей угрозу причинения вреда жизни или здоровью граждан. 4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