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«Проекты и технологии – Управление и Разработка» (далее – общество) обратилось в суд с заявлением о включении в реестр требований кредиторов должника задолженности в сумме 58 825 000 рублей. Определением Арбитражного суда Свердловской области от 01.02.2017, оставленным без изменения постановлением Семнадцатого арбитражного апелляционного суда от 10.05.2017, отказано в удовлетворении требований. Впоследствии общество обратилось в суд с заявлением о пересмотре определения суда первой инстанции от 01.02.2017 по новым обстоятельствам. Определением Арбитражного суда Свердловской области от 07.02.2018, оставленным без изменения постановлением Семнадцатого арбитражного апелляционного суда от 24.04.2018, заявление о пересмотре судебного акта по новым обстоятельствам удовлетворено, отменено определение от 01.02.2017. 2 Определением Арбитражного суда Свердловской области от 18.03.2019, оставленным без изменения постановлением Семнадцатого арбитражного апелляционного суда от 18.06.2019, отказано в удовлетворении требований. Постановлением Арбитражного суда Уральского округа от 07.10.2019 отмены определение суда первой инстанции от 18.03.2019 и постановление апелляционного суда от 18.06.2019, указанные требования общества включены в третью очередь реестра требований кредиторов должника. В кассационных жалобах, поданных в Верховный Суд Российской Федерации, заявители просят отменить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по обособленному спору судебные акты и удовлетворяя требования, суд округа, руководствуясь положениями статей 16, 65 и 69 Арбитражного процессуального кодекса Российской Федерации,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несоответствия выводов судов фактическим обстоятельствам дела и имеющимся в деле доказательствам, обоснованно признав, что требование общества основано не на договорных обязательствах, а на факте признания платежей недействительными и подтверждено вступившими в законную силу судебными актами, принятыми в рамках дела о банкротстве общества, и подлежит включению в реестр требований кредиторов должника, указав на отсутствие каких-либо правовых оснований для непринятия во внимание вступивших в законную силу судебных актов, которые являются обязательными для исполнения.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3 соответствуют нормам права, оснований для переоценки этих выводов не имеется. Несогласие заявителей с выводами суда округа, основанными на установленных фактических обстоятельствах дела, не свидетельствует о неправильном применении судом округа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«Энергетические проекты – Краснотурьинск» Ростунову Александру Владимировичу, обществу с ограниченной ответственностью «Комплексные инженерные изыскания в строительстве» и Семенову Алексею Евгеньевичу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