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25.03.2019, оставленным без изменения постановлением Девятого арбитражного апелляционного суда от 10.06.2019 и постановлением Арбитражного суда Московского округа от 09.10.2019, в удовлетворении заявленного требования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 обратилось в управление с заявлением о включении сведений об обществе в реестр недобросовестных поставщиков в связи с уклонением от заключения по результатам электронного аукциона государственного контракта на поставку светотехнического оборудования. Решением антимонопольного органа сведения в отношении общества включены в реестр недобросовестных поставщиков сроком на два года. Признавая решение законным, суды, оценив представленные в материалы дела доказательства, руководствуясь положениями статей 45, 96, 104 Федерального закона от 05.05.2013 № 44-ФЗ «О контрактной системе в сфере закупок товаров, услуг для обеспечения государственных и муниципальных нужд», пришли к выводу о наличии у антимонопольного органа правовых оснований для включения сведений об обществе в реестр недобросовестных поставщиков. Судебные инстанции исходили из доказанности управлением недобросовестного поведения победителя аукциона, направленного на уклонение от заключения контракта ввиду намеренного непредставления надлежащего документа об обеспечении его исполнения. При этом обстоятельств, свидетельствующих о наличии препятствий в подготовке и получении надлежащего обеспечения исполнения контракта, обществом не приведено. 3 Доводы, изложенные в кассационной жалобе, сводятся к отсутствию оснований для включения сведений в отношении общества в реестр недобросовестных поставщиков в связи с отсутствием недобросовестности победителя аукциона и намерения уклониться от заключения контракта, являлись предметом рассмотрения судов и получили правовую оценку с учетом установленных обстоятельств дела. Приведенные доводы не подтверждают существенных нарушений норм права, повлиявших на исход дела, по существу, выражают несогласие с выводами судов по фактическим обстоятельствам дела и направлены на их переоценку,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«Глобал Лайтинг»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