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27.05.2019, оставленным без изменения постановлением Девятого арбитражного апелляционного суда от 17.07.2019 и постановлением Арбитражного суда Московского округа от 09.10.2019, в удовлетворении иска отказано. В кассационной жалобе объединение просит об отмене судебных актов вследствие несоответствия фактическим обстоятельствам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обстоятельствах исполнения сторонами договора от 19.06.2017 № 19/6-2017 соответствуют согласованным условиям и статьям 15, 393, 450, 518, 523 Гражданского кодекса Российской Федерации. Доводы жалобы не опровергают установленных судами обстоятельств и не создают оснований к пересмотру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Ставровское научно-производственное объединение «Теплоприбор»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