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22.04.2019, оставленным без изменения постановлением Восемнадцатого арбитражного апелляционного суда от 04.07.2019 и постановлением Арбитражного суда Уральского округа от 24.10.2019, в удовлетворении заявленного требования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оспоренной части послужил вывод налогового органа о занижении обществом налоговой базы в связи с неправомерным включением в состав налоговых вычетов сумм налога на добавленную стоимость на основании документов, выставленных от имени обществ с ограниченной ответственностью «АктивСервис», «Синтез-Строй», «Челябсервисторг» за выполненные подрядные работы и поставку материалов. Рассматривая спор, суды, оценив представленные в материалы дела доказательства, установили формальный характер заключения обществом договоров с заявленными в первичных документах контрагентами, обладающими признаками номинальных организаций и не имеющими реальной возможности осуществить предусмотренные договорами обязательства, в том числе в связи с отсутствием необходимых материальных и трудовых ресурсов. При этом в спорный период у общества были трудоустроены специалисты рабочих профессий (отделочники, каменщики), что позволяло ему выполнить работы собственными силами. Учитывая установленные обстоятельства, руководствуясь положениями статей 169, 171, 172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судебные инстанции пришли к выводу о наличии у налогового органа правовых оснований для принятия решения в оспоренной части, поскольку представленные обществом 3 первичные документы не отвечают требованиям достоверности и не могут служить основанием для применения налоговых вычетов по налогу на добавленную стоимость. Доводы, изложенные в кассационной жалобе, повторяют позицию общества по спору, являлись предметом рассмотрения судов и с учетом установленной совокупности обстоятельств не подтверждают наличие существенных нарушений норм материального и процессуального права, повлиявших на исход дела. По существу доводы жалобы основаны на несогласии с выводами судов по фактическим обстоятельствам дела и направлены на их переоценку, что не является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«Аванта»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