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Калужской области от 23.04.2019, оставленным без изменения постановлением Двадцатого арбитражного апелляционного суда от 19.07.2019, в удовлетворении заявленного требования отказано. 2 Постановлением Арбитражного суда Центрального округа от 18.10.2019 указанные судебные акты отменены, дело направлено на новое рассмотрение в суд первой инстанции. Антимонопольный орган обратился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судебные акты судов первой и апелляционной инстанций и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исходил из неисследования судами обстоятельств невыполнения сетевой организацией обязательств по договору на осуществление технологического присоединения, выводы судов сделаны на основании обстоятельств, которые не соответствуют имеющимся в деле доказательствам.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3 экономической деятельности, а также защита охраняемых законом публичных интересов.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спора,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