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25.02.2019, оставленным без изменения постановлением Тринадцатого арбитражного апелляционного суда от 28.05.2019 и постановлением Арбитражного суда Северо-Западного округа от 27.09.2019, иск удовлетворен. В кассационной жалобе торговый дом просит о пересмотре судебных актов, ссылаясь на нарушение согласованного порядка расторжения договора и последующее принятие исполнения.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отказ от исполнения договора от 01.06.2017 № 01/06-004 основан на статье 523 Гражданского кодекса Российской Федерации, поэтому не применили согласованный сторонами порядок расторжения договора. Суды также установили, что на требуемую в иске сумму товар ответчиком не поставлен, поэтому правильно признали отсутствие оснований для ее удержания и взыскали в соответствии со статьями 487, 506, 523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«Краснодарские металлы»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