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01.04.2019, оставленным без изменения постановлением Восьмого арбитражного апелляционного суда от 08.07.2019 и постановлением Арбитражного суда Западно-Сибирского округа от 07.10.2019, иск удовлетворен. В кассационной жалобе союз просит отменить судебные акты, ссылаясь в обоснование неправомерности иска на ненаступление срока исполнения обязательства и понесенные на исполнение расходы.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исследования и оценки обстоятельств исполнения договора на проведение экспертизы от 28.11.2017 № 149-01-00271 суды установили неисполнение союзом обязательства и недоказанность необходимости несения расходов на исполнение в отсутствие результата, повлекшего расторжение договора и отпадение основания для удержания суммы предварительного платежа, в связи с чем удовлетворили иск в соответствии со статьями 450, 781, 782, 1102 Гражданского кодекса Российской Федерации.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союзу «Нижневартовская торгово-промышленная палата»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