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07.03.2019, оставленным без изменения постановлением Восемнадцатого арбитражного апелляционного суда от 24.05.2019, исковые требования удовлетворены. Постановлением Арбитражного суда Уральского округа от 30.09.2019 решение суда первой инстанции и постановление суда апелляционной инстанции отменены, дело направлено на новое рассмотрение в Арбитражный суд Челябинской области. В кассационной жалобе, поданной в Верховный Суд Российской Федерации, управление, ссылаясь на нарушение судом округа норм права, 2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указал на необходимость установить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Судебного департамента в Челябинской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