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24.04.2019, оставленным без изменения постановлением Одиннадцатого арбитражного апелляционного суда от 09.07.2019 и постановлением Арбитражного суда Поволжского округа от 22.10.2019,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по эпизоду, связанному с доначислением налога на прибыль и пени, направить в указанной части дело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инспекцией вынесено решение, которым доначислены налог на добавленную стоимость (далее - НДС) и налог на прибыль в сумме 28 763 934 рублей, пени в сумме 8 348 145 рублей. Основанием для доначисления налогов послужил вывод инспекции о необоснованном получении обществом налоговой выгоды в виде применения вычетов по НДС и включения затрат в расходы, уменьшающие налогооблагаемую базу по налогу на прибыль по хозяйственным операциям с ООО «Трансгермес» и ООО «Мехтранс» по договорам на выполнение подрядных работ. Не согласившись с решением инспекции, общество обратилось в арбитражный суд. Исследовав и оценив представленные в материалы дела доказательства, суды установили, что представленные обществом первичные учетные документы содержат недостоверные сведения, не подтверждают реальность спорных хозяйственных операций заявителя с указанными контрагентами (фактически работы производились ОАО «Строй-Центр») и направлены на создание фиктивного документооборота в целях получения необоснованной налоговой выгоды. Установив указанные обстоятельства, руководствуясь положениями статей 169 , 171 , 172 , 252 Налогового кодекса,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законности решения инспекции. Доводы общества о реальности сделок с контрагентами и обоснованности включения в расходы понесенных затрат, являлись предметом рассмотрения судов и получили надлежащую правовую оценку, не подтверждают существенных нарушений норм материального и процессуального права, повлиявших на исход дела. Заявленные доводы повторяют позицию налогоплательщика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«Строительная компания «Град»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"Строительная компания "Град" (подробнее) Ответчики: Межрайонная Инспекция Федеральной налоговой службы России №18 по Самарской области (подробнее) Управление Федеральной налоговой службы по Самарской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