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17.04.2019, оставленным без изменения постановлением Восемнадцатого арбитражного апелляционного суда от 20.06.2019 и постановлением Арбитражного суда Уральского округа от 02.10.2019, в удовлетворении иска отказано. В кассационной жалобе, поданной в Верховный Суд Российской Федерации, общество, ссылаясь на нарушение судами норм права, несоответствие их выводов фактическим обстоятельствам, просит отменить 2 указанные судебные акты и принять новый судебный акт об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обжалуемых судебных актов, общество (заказчик), обращаясь в арбитражный суд с иском по настоящему делу, сослалось на наличие на стороне учреждения (исполнителя) неосновательного обогащения в виде авансовых платежей, перечисленных в рамках договоров от 21.05.2018 № 705/04-01/8-169-18, № 704/04-01/8-170-18 на проведение государственной экспертизы проектной документации и результатов инженерных изысканий (далее – договоры), о расторжении которых заказчик уведомил исполнителя письмами от 03.07.2018.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инстанции установили, что по результатам проделанной учреждением работы заказчик по существу получил квалифицированную оценку в отношении проектной документации с аргументированным обоснованием всех выявленных в этой документации недостатков, принял замечания и мог использовать данный результат работы исполнителя для приведения проектной документации в соответствие с установленным требованиями, вместе с тем к окончанию срока для устранения недостатков, а также срока предоставления услуг, отказался от исполнения договоров, лишив ответчика возможности завершить оказание услуг по договорам. Учитывая порядок определения стоимости услуг, оказываемых по договорам, суды пришли к выводу о том денежные средства, перечисленные заказчиком в оплату услуг по договорам, не подлежат возврату, компенсируют расходы исполнителя, в связи с чем не являются его неосновательным обогащением. При таких обстоятельствах, руководствуясь статьями 309, 310, 1102 Гражданского кодекса Российской Федерации, суды отказали в удовлетворении иска. С указанными выводами впоследствии согласился суд округа, мотивированно отклонив доводы общества о неверной квалификации договоров. Доводы кассационной жалобы не опровергают выводы судов и не подтверждают существенных нарушений судами норм материального и процессуального права, повлиявших на исход дела.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«Южно-Уральская Корпорация жилищного строительства и ипотеки»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