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ходатайством о разрешении разногласий, возникших между ним, публичным акционерным обществом «Сбербанк России» и Управлением Федеральной налоговой службы по Республике Бурятия (далее – банк, уполномоченный орган) об определении требований о возмещении ущерба, причиненного преступлением на основании приговора Мещанского районного суда города Москвы от 15.07.2016 года в размере 22 805 468 рублей 25 копеек в качестве текущего платежа. Определением Арбитражного суда Республики Бурятия от 13.05.2019 разногласия разрешены, требования уполномоченного органа признаны текущими платежами. Постановлением Четвёртого арбитражного апелляционного суда от 12.07.2019, оставленным без изменения постановлением Арбитражного суда Восточно-Сибирского округа от 25.09.2019, вышеуказанное определение отменено. Принят новый судебный акт о разрешении разногласий путём признания требований уполномоченного органа подлежащими включению в реестр.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возникшие между сторонами разногласия, апелляционный суд, руководствуясь статьями 5, 63 Федерального закона от 26.10.2002 № 127-ФЗ «О несостоятельности (банкротстве)», пунктом 1 постановления Пленума Высшего Арбитражного Суд Российской Федерации от 23.07.2009 № 63 «О текущих платежах по денежным обязательствам в деле о банкротстве» исходил из того, что поскольку правонарушение должника, за которое тот привлёчен к уголовной и гражданско-правовой ответственности, окончено до возбуждения дела о его банкротстве, то и обязательство причинённого вреда возникло в тот же период, в связи с чем, требования не являются текущими и подлежат включению в реестр.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Матханова Михаила Эдуардовича Дмитриеву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