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завод подает кассационную жалобу на судебные акты по делу № А40-75767/2019 и просит о приостановлении исполнения обжалуемого решения. Обоснование приостановления исполнения решения заводом не приведено, условий для него, требуемых частью 3 статьи 291.6 Арбитражного процессуального кодекса Российской Федерации, не установлено, поэтому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Темп» в приостановлении исполнения решения Арбитражного суда города Москвы от 07.06.2019 по делу № А40-75767/2019.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