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«ТехноТорг» (далее – общество) обратилось в суд с заявлением о включении в реестр требований кредиторов должника задолженности в размере 3 820 303 рублей 38 копеек. Определением Арбитражного суда города Москвы от 26.04.2018, оставленным без изменения постановлением Девятого арбитражного апелляционного суда от 10.07.2018, требование общества признано обоснованным и включено в третью очередь реестра. Постановлением Арбитражного суда Московского округа от 18.09.2018 вышеуказанные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17.04.2019, оставленным без изменения постановлениями Девятого арбитражного апелляционного суда от 12.07.2019 и Арбитражного суда Московского округа от 02.10.2019, заявление общества удовлетворено. В кассационной жалобе, поданной в Верховный Суд Российской Федерации, заявитель просит отменить принятые на новом рассмотрении названные судебные акты и направить обособленный спор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общества, основанное на поставке товара для производственной деятельности должника, подтверждено документально, не исполнено и заявлено в пределах установленного законом срока, в связи с чем, является обоснованным и подлежит включению в реестр в заявленной сумме.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«Эскорт» Сиротинскому Кириллу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