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11.06.2019, оставленным без изменения постановлениями Десятого арбитражного апелляционного суда от 04.09.2019 и Арбитражного суда Московского округа от 13.11.2019, заявленные требования удовлетворены. В кассационной жалобе ФАС России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единой комиссии заказчика при проведении закрытого конкурса на выполнение строительно-монтажных, пусконаладочных работ, ввода в эксплуатацию объекта «Строительство здания Арбитражного суда города Санкт-Петербурга и Ленинградской области по адресу: город Санкт-Петербург, улица Смольного, дом 6», ФАС России принято решение. Антимонопольным органом жалоба общества признана обоснованной в части допуска заявки ООО «ПетроСтройСвязь» к участию в конкурсе в нарушение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действия заказчика нарушившими часть 1 статьи 50 Закона о контрактной системе, действия единой комиссии заказчика нарушившими часть 2 статьи 53 Закона о контрактной системе. Предписанием ФАС России на заказчика и единую комиссию возложена обязанность по устранению нарушения законодательства о контрактной системе. Не согласившись с ненормативными актами антимонопольного органа, заказчик обратился в арбитражный суд. Удовлетворяя заявленные требования,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50, 53, 105 Закона о контрактной системе, пришли к выводу о том, что оспариваемые акты антимонопольного органа не соответствуют положениям действующего законодательства и нарушают права и законные интересы заявителя. Судебные инстанции исходили из того, что жалоба общества была подана в ФАС России и принята с нарушением сроков, установленных Законом о контрактной системе. Допуск ООО «ПетроСтройСвязь» к участию в конкурсе не повлиял на результаты конкурса, указанная организация не стала его победителем, и ее участие не затронуло права иных участников. 3 Доводы кассационной жалобы являлись предметом рассмотрения судов и получили надлежащую правовую оценку, направлены на переоценку установленных по делу обстоятельств,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Несогласие заявителя с выводами судов, иная оценка им фактических обстоятельств дела и иное толкование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