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12.03.2019, оставленным без изменения постановлением Восьмого арбитражного апелляционного суда от 08.07.2019 и постановлением Арбитражного суда Западно-Сибирского округа от 03.10.2019, с общества в пользу компании взыскано 603 900 неустойки, 150 975 руб. штрафа,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Тюменской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Частично удовлетворяя исковые требования компании, получившей право требования взыскания денежных средств на основании договора цессии с участником долевого строительства, суды руководствовались положениями статей 309, 310, 330, 382, 384 Гражданского кодекса Российской Федерации,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Закона Российской Федерации от 07.02.1992 № 2300-1 «О защите прав потребителей» и исходили из подтвержденности факта нарушения обществом срока передачи объекта долевого строительства и наличия оснований для уменьшения размера неустойки по правилам статьи 333 Гражданского кодекса Российской Федерации с учетом соответствующего заявления ответчика. Впоследствии с указанными выводами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«Промстройкомплекс»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