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18.03.2019 в удовлетворении требования отказано. Постановлением Девятого арбитражного апелляционного суда от 18.06.2019, оставленным без изменения постановлением Арбитражного суда Московского округа от 08.10.2019, решение суда отменено, заявление удовлетворено. В кассационной жалобе, поданной в Верховный Суд Российской Федерации, ФАС России просит отменить судебные акты судов апелляционной 2 инстанции и округа, ссылаясь на существенное нарушение норм права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18.09.2007 поступило заявление Нуждина В.В., содержащее информацию о наличии соглашения между участниками электронных аукционов в сфере дорожного строительства. Решением ФАС России в действиях ООО «Самаратрансстрой» и ООО «С.И.Т.И.» при совместном участии в электронных аукционах № 0355100004515000071, 0355100004515000148, 08422000202117000091, 0842200002117000092 установлено нарушение пункта 2 части 1 статьи 11 Федерального закона от 26.07.2006 № 135-ФЗ «О защите конкуренции» (далее - Закон о защите конкуренции). Не согласившись с решением антимонопольного органа, общества обратились в арбитражный суд. Отказывая в удовлетворении требования, суд первой инстанции исходил из доказанности антимонопольным органом обстоятельств, свидетельствующих о наличии соглашения между хозяйствующими субъектами-конкурентами. Отменяя решение суда, суд апелляционной инстанции, повторно оценив представленные в материалы дела доказательства, руководствуясь статьями 4, 11, 41.1 Закона о защите конкуренции, пришел к выводу об отсутствии у антимонопольного органа правовых оснований для принятия решения в оспариваемой части, с чем согласился суд округа. Судебные инстанции указали, что ФАС России не представлено доказательств, подтверждающих факт заключения антиконкурентного соглашения, а также наличия причинно-следственной связи между данным соглашением и наступившими (потенциальными) последствиями в виде повышения, снижения или поддержания цен на данных торгах. Суды также отметили, что на дату принятия решения ФАС России истек трехгодичный срок давности рассмотрения дела о нарушении антимонопольного законодательства, что является самостоятельным основанием для признания недействительным оспариваемого решения 3 антимонопольного органа в части аукционов № 0355100004515000071 и № 0355100004515000148. Доводы антимонопольного органа, изложенные в кассационной жалобе, являлись предметом рассмотрения судов и получили надлежащую правовую оценку. По существу доводы жалобы направлены на переоценку доказательств и установление по делу иных фактических обстоятельств,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