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03.05.2019, оставленным без изменения постановлением Одиннадцатого арбитражного апелляционного суда от 29.07.2019 и постановлением Арбитражного суда Поволжского округа от 21.10.2019, в удовлетворении иска отказано. В кассационной жалобе, поданной в Верховный Суд Российской Федерации, антимонопольный орган,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обращения с настоящим иском в арбитражный суд послужил вывод антимонопольного органа о проведении комитетом торгов по продаже муниципального имущества с существенным нарушением действующего законодательства. Оценив представленные в материалы дела доказательства, суды, руководствуясь положениями статьи 449 Гражданского кодекса Российской Федерации, статей 12, 15 Федерального закона от 21.12.2001 № 178-ФЗ «О приватизации государственного и муниципального имущества», статьи 13 Федерального закона от 29.07.1998 № 135-ФЗ «Об оценочной деятельности в Российской Федерации», пришли к выводу об отсутствии правовых оснований для признания торгов и заключенного по их результатам договора недействительными ввиду недоказанности управлением нарушения комитетом требований законодательства. Судебные инстанции установили, что информационное сообщение о проведении торгов размещено комитетом более чем за 30 дней до даты проведения торгов, сроков нарушения публикации не имеется. При этом с целью дополнительной публикации организатор в тот же день направил информационное сообщение о проведении торгов 03.08.2018 в печатное издание «Сборник документов и правовых актов», которое было опубликовано 05.07.2018. Вместе с тем относительно определения организатором торгов цены продажи объекта суды указали, что для реализации имущества с торгов применяется только рыночная стоимость объекта, которая является вероятной и отправной с целью ее последующего повышения на торгах. Ссылки антимонопольного органа на отсутствие информации о подаче предложения о цене имущества и о порядке возвращения задатка также признаны несостоятельными, поскольку в информационном сообщении указано на проведение открытых аукционных торгов, что уже является открытой формой подачи предложения о цене, а условия возврата и удержания задатка содержатся в пункте 3 договора о задатке. Доводы антимонопольного органа, изложенные в кассационной жалобе, не опровергают выводы судов, не подтверждают существенного нарушения норм материального и процессуального права, повлиявших на исход дела, по существу, направлены на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Управление Федеральной антимонопольной службы по Республике Татарстан, г.Казань (подробнее) Ответчики: Муниципальное казенное учреждение "Комитет земельных и имущественных отношений Исполнительного комитета муниципального образования г.Казани", г.Казань (подробнее) ООО "Хэрэкэт", г.Казань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