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30.04.2019, оставленным без изменения постановлением Первого арбитражного апелляционного суда от 27.06.2019 и постановлением Арбитражного суда Волго-Вятского округа от 02.10.2019, исковые требования удовлетворены. В кассационной жалобе, поданной в Верховный Суд Российской Федерации, товарищество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кассационных жалоб не установлено. Как следует из судебных актов, требования общества (исполнителя) мотивированы неисполнением товариществом (заказчиком) обязательств по оплате в рамках заключенного сторонами договора правового абонентского обслуживания от 25.12.2017 № ДАО-52/29-17 (далее – договор)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395 , 421 , 429.1 , 779 , 781 Гражданского кодекса Российской Федерации, установив, что сторонами заключен абонентский договор (оплата производится помесячно вне зависимости от факта обращения за услугой и объема услуг), доказательств оплаты задолженности, уклонения общества от оказания услуг товариществом не представлено, пришли к выводу о наличии оснований для удовлетворения иска. Суд округа, проверяя судебные акты судов первой и апелляционной инстанций в пределах, установленных арбитражным процессуальным законодательством, не усмотрел предусмотренных частью 4 статьи 288 Арбитражного процессуального кодекса Российской Федерации оснований для их отмены. Приведенные товариществом в кассационной жалобе доводы существенных нарушений норм материального и процессуального права, повлиявших на исход дела, не подтверждают, в связи с чем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№ 4 «Мечта»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ПКА "МАГУРА" (подробнее) Ответчики: ТСЖ №4 "МЕЧТА"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