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15.04.2019, оставленным без изменения постановлением Восемнадцатого арбитражного апелляционного суда от 29.07.2019 и постановлением Арбитражного суда 2 Уральского округа от 15.11.2019, в удовлетворении заявленных требований отказано. В кассационных жалобах, поданных в Верховный Суд Российской Федерации, общества, ссылаясь на существенное нарушение норм права, просят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общества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реализации модели группового поведения, при которой незначительное снижение каждым из них начальной максимальной цены контракта и дальнейший отказ от конкурентной борьбы позволял одному из обществ заключить государственный контракт с заказчиком по цене, максимально приближенной к начальной максимальной цене контракта. В целях устранения нарушений выданы предписания. Считая ненормативные акты антимонопольного органа незаконными, общества обратились в арбитражный суд. Оценив представленные в материалы дела доказательства, суды, руководствуясь положениями статей 1, 4, 9, 11, 17 Закона о защите конкуренции, пришли к выводу о наличии у управления правовых оснований для принятия решения и вынесения предписаний ввиду доказанности наличия в действиях заявителей вменяемого нарушения антимонопольного законодательства, выразившегося в создании картеля и достижении антиконкурентного соглашения, приведшего к поддержанию цены на торгах на поставку дезинфицирующих средств для нужд медицинских учреждений Республики Башкортостан. Судебные инстанции указали, что используя единую инфраструктуру, общества намеренно совместно принимали участие в торгах и реализовывали в 3 их процессе единую стратегию поведения с тем, чтобы получить определенные экономические последствия (выгоду) в виде заключения государственных контрактов при максимальном сохранении уровня начальной цены, предложенной заказчиком. Доводы, изложенные в кассационных жалобах, повторяют позиции заявителей по спору,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По существу, приведенные доводы выражают несогласие обществ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«Артимед» и обществу с ограниченной ответственностью «Прайм»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