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26.02.2019, оставленным без изменения постановлением Десятого арбитражного апелляционного суда от 09.07.2019 и постановлением Арбитражного суда Московского округа от 07.10.2019, в удовлетворении исковых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судебные акты отменить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жалобы,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суды, руководствуясь положениями статей 150 , 152 Гражданского кодекса Российской Федерации, разъяснениями, изложенными в пункте 7 постановления Пленума Верховного Суда Российской Федерации от 24.02.2005 № 3 «О судебной практике по делам о защите чести и достоинства граждан, а также деловой репутации граждан и юридических лиц» и пункте 21 «Обзора судебной практики Верховного Суда Российской Федерации № 1 (2017)», утвержденного Президиумом Верховного Суда Российской Федерации 16.02.2017, пришли к выводу об отсутствии оснований для удовлетворения иска ввиду недоказанности распространения спорных сведений ответчиком. Судебные инстанции исходили из того, что сайт, на котором размещена спорная информация (видео), принадлежит не ответчику, а частному лицу, при этом к созданию этого видео ответчик отношения не имеет и в каких-либо правоотношениях с частным лицом не состоит. Вместе с тем суды указали на непредставление обществом доказательств наступления неблагоприятных последствий, в том числе в виде утраты доверия потребителей и контрагентов к его репутации.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по делу.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оценкой доказательств и направлены на установление иных фактических обстоятельств, что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ТПК «Алмаз-групп»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ТПК "АЛМАЗ-ГРУПП" (подробнее) Ответчики: ООО "Мастикс" (подробнее) Судьи дела: Антонова М.К. (судья) (подробнее) Судебная практика по: Защита деловой репутации юридического лица, защита чести и достоинства гражданина Судебная практика по применению нормы ст. 152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